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昆明市官渡区冠益学校</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1"/>
                <w:szCs w:val="21"/>
              </w:rPr>
              <w:t>昆明市官渡区冠益学校是隶属于官渡区“官一中教育集团”的公办 中学，位于昆明市官渡区官渡街道琥珀俊园石楠巷 10 号地块。在区 委、区政府、区教体局的正确领导下，我校始终把促进师生共同发展放 在首位，坚持以办人民满意的教育为目标，以增强师生幸福感为内驱 力，不断增加教育投入，全面优化育人环境，大力推进教育教学改革， 努力提高教育教学质量，着力构建结构合理、质量优良、特色鲜明、充满活力的现代化校园。学校曾被授予“全国青少年冰心文学大赛授予昆明市官渡区冠益中学全国写作教学示范学校”、“全国青少年冰心文学大赛冠益中学工作站”、“中国青少年创造力大赛冠益中学工作站”等称号。为吸纳优秀教育人才，扩充优化学校教师队伍，热忱欢迎热爱教育事业的教师到昆明市官渡区冠益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w:t>
            </w:r>
            <w:r>
              <w:rPr>
                <w:rFonts w:hint="eastAsia"/>
                <w:b/>
              </w:rPr>
              <w:t>2023 年 7 月 10 日 9:00—7 月 14 日 17:00（截止时间后不接受任何形式报名）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hint="eastAsia" w:ascii="宋体" w:hAnsi="宋体" w:cs="宋体"/>
                <w:sz w:val="24"/>
                <w:szCs w:val="24"/>
                <w:lang w:val="en-US" w:eastAsia="zh-CN"/>
              </w:rPr>
              <w:t>报名方式：应聘人员须在规定的时间内通过电子邮件形式，将个人身份证、毕业证、学位证、教师资格证、个人简历打包后发到邮箱：312870520@qq.com（www.ynkszp.net）进行报名和资格审核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语文</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数学</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英语</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物理</w:t>
                  </w:r>
                </w:p>
              </w:tc>
              <w:tc>
                <w:tcPr>
                  <w:tcW w:w="1507" w:type="dxa"/>
                  <w:vAlign w:val="center"/>
                </w:tcPr>
                <w:p>
                  <w:pPr>
                    <w:jc w:val="center"/>
                    <w:rPr>
                      <w:rFonts w:hint="default"/>
                      <w:lang w:val="en-US" w:eastAsia="zh-CN"/>
                    </w:rPr>
                  </w:pPr>
                  <w:r>
                    <w:rPr>
                      <w:rFonts w:hint="eastAsia"/>
                      <w:lang w:val="en-US" w:eastAsia="zh-CN"/>
                    </w:rPr>
                    <w:t>2</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体育</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地理</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化学</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生物</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道德与法治</w:t>
                  </w:r>
                </w:p>
              </w:tc>
              <w:tc>
                <w:tcPr>
                  <w:tcW w:w="1507" w:type="dxa"/>
                  <w:vAlign w:val="center"/>
                </w:tcPr>
                <w:p>
                  <w:pPr>
                    <w:jc w:val="center"/>
                    <w:rPr>
                      <w:rFonts w:hint="default"/>
                      <w:lang w:val="en-US" w:eastAsia="zh-CN"/>
                    </w:rPr>
                  </w:pPr>
                  <w:r>
                    <w:rPr>
                      <w:rFonts w:hint="eastAsia"/>
                      <w:lang w:val="en-US" w:eastAsia="zh-CN"/>
                    </w:rPr>
                    <w:t>2</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信息技术</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美术</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eastAsia"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聘用制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13987650042 李老师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云南招聘网</w:t>
            </w:r>
          </w:p>
          <w:p>
            <w:pPr>
              <w:jc w:val="center"/>
            </w:pPr>
            <w:r>
              <w:rPr>
                <w:rFonts w:hint="eastAsia"/>
              </w:rPr>
              <w:fldChar w:fldCharType="begin"/>
            </w:r>
            <w:r>
              <w:rPr>
                <w:rFonts w:hint="eastAsia"/>
              </w:rPr>
              <w:instrText xml:space="preserve"> HYPERLINK "http://www.ynzp.com/infos/153281.html?IsHideTop=" </w:instrText>
            </w:r>
            <w:r>
              <w:rPr>
                <w:rFonts w:hint="eastAsia"/>
              </w:rPr>
              <w:fldChar w:fldCharType="separate"/>
            </w:r>
            <w:r>
              <w:rPr>
                <w:rStyle w:val="7"/>
                <w:rFonts w:hint="eastAsia"/>
              </w:rPr>
              <w:t>http://www.ynzp.com/infos/153281.html?IsHideTop=</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2477648"/>
    <w:rsid w:val="539B2567"/>
    <w:rsid w:val="53E95368"/>
    <w:rsid w:val="55323EFB"/>
    <w:rsid w:val="57AC4FF5"/>
    <w:rsid w:val="5CB861CB"/>
    <w:rsid w:val="5CC72F01"/>
    <w:rsid w:val="609A01E8"/>
    <w:rsid w:val="61505233"/>
    <w:rsid w:val="63201F21"/>
    <w:rsid w:val="64CF488E"/>
    <w:rsid w:val="65CB597F"/>
    <w:rsid w:val="664D727E"/>
    <w:rsid w:val="6770123B"/>
    <w:rsid w:val="67F72090"/>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35</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2023-07-07T01:25:02Z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566F4049B0344469A62DF7DC4C276162_13</vt:lpwstr>
  </property>
</Properties>
</file>