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华宁县人力资源和社会保障局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  <w:t>报名时间：公告发布之日至2023年5月26日（上午8:00-12:00、下午2:30-6:00），双休日除外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报名地点：华宁县人力资源和社会保障局306办公室（华宁县宁州街道宁康街5号）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5027455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"https://mp.weixin.qq.com/s/Agk3s1jT5-2nUhMqpi-W4g"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https://mp.weixin.qq.com/s/Agk3s1jT5-2nUhMqpi-W4g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5ED44E54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17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2023-05-25T07:19:42Z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42C86E93E1924E7FBC1485BEA84D8E2A_13</vt:lpwstr>
  </property>
</Properties>
</file>