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云南建投餐饮有限公司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玉溪/昆明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2"/>
                <w:szCs w:val="22"/>
              </w:rPr>
              <w:t>云南建投餐饮有限公司成立于2015年11月，是云南建投集团下属公司，为云南省餐饮与美食行业协会副会长单位。多年来，公司始终坚持做“良心菜、放心菜、家常菜”，注重提升品质，做精致、高标准的餐饮服务，在业界积累了良好口碑。截止目前公司负责经营管理餐厅共51个，承接了云南省国资委餐厅、云南省工信委会餐厅、云南省高级人民法院餐厅、云南省纪委雨花工作点餐厅、云南省环境保护厅餐厅、云南省商务厅餐厅、云南省发改委餐厅、云南省军区餐厅等标志性餐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面试地址：昆明市经济技术开发区信息产业基地林溪路188号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酒店前台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酒店管理、空中乘务、高速铁路客运乘务相关专业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餐厅服务员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高铁、酒店等专业优先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刘老师：15198774745；杜总：13888737903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"https://mp.weixin.qq.com/s/uocQb2T6rGEHDppC1o_ZMA"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https://mp.weixin.qq.com/s/uocQb2T6rGEHDppC1o_ZMA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  <w:rsid w:val="7D9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465</Words>
  <Characters>549</Characters>
  <Lines>4</Lines>
  <Paragraphs>1</Paragraphs>
  <TotalTime>11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2023-05-11T01:58:02Z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D3BD26964AD3411286A5D8602A31BFFA_13</vt:lpwstr>
  </property>
</Properties>
</file>