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学校基本概况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玉溪师范学院是省属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全日制普通本科院校，学校作为省级立项建设硕士学位授予单位，2019年被列为云南省应用型本科人才培养示范院校建设单位，2021年被教育部确立为新一轮教育教学审核评估试点单位。学校秉承“至真至善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致美致用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的校训精神，办学44年来，培养了6.5万名“思想品德优，理论基础实，专业能力强，综合素质高”，富有创新精神的高素质应用型人才，在促进地方经济社会发展方面做出了应有贡献。</w:t>
      </w:r>
    </w:p>
    <w:p>
      <w:pPr>
        <w:ind w:firstLine="640" w:firstLineChars="200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学校现有 57 个本科专业。其中，美术学为国家级特色专业，省级一流本科专业建设点13个，地理科学、生物科学、艺术设计为云南省高等学校特色建设专业，泰语为云南省高等学校重点建设专业；2020年以来，有5个专业通过师范类专业国家二级认证；本科专业综合评价排名持续提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近年来，学校主持国内外科研项目548项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先后与多家单位、企业以及地方政府合作成立各类教育基地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学校坚持以培养学生能力为中心，全面促进大学生核心素养的发展，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在大学生创新创业大赛、技能竞赛等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多项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赛事中获国家级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奖励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85项。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目前，学校已经形成了应用型人才培养体系、科技协同创新体系、玉溪产业高水平发展研究高地，为学校建设高水平应用型大学奠定了坚实的基础。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各学院特色专业简介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文学院开设汉语言文学、汉语国际教育、新闻学三个专业。汉语言文学专业开设于1978年，2000年在地州高校同类专业中率先升格为本科。2004年被认定为校级重点专业，2016年被列为学校十三五重点学科。2017年，按本科第一批次录取。2020年全省专业综合评估，在地州高校同类专业中首批获评C类专业。汉语国际教育为四年制文学类本科，从2007年9月开始招生，C类专业。新闻学专业自2013年9月开始招生，坚持以应用型人才培养为导向的办学指导思想，科学构建人才培养体系，强化学生专业质量规格，努力培养新闻学应用型人才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学院开设法学及社会工作两个专业。法学专业为非师范专业，为提高学生的实践能力，通过诊所式法律教育、模拟法庭演练、社区法律服务、校园法庭、专业见习、实习基地建设等方式提高学生法律的实践能力。社会工作专业2011年开始招生，弹性学制4到6年，建有社会工作实验室1个，有校外签约合作见习、实习基地7个，为学生提供较为优质的专业教学与专业实践服务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物理与电子工程学院开设物理学、电子信息工程、电气工程及其自动化、通信工程、自动化、电气自动化技术六个专业。物理学专业始于 1978 年，2000 年学校升本开始招收第一届本科学生。专业先后建成云南省高校科技创新团队 2 个，校级物理实验教学示范中心，2019 年入选省级一流本科专业建设点，2021 年入选玉溪师范学院红塔应用示范专业，是校级重点专业。自动化专业开办于 2013 年，积极探索“专业实习+毕业设计+就业”的一体化工程实践能力培养模式，，自 2017 年有第一届毕业生以来，毕业生平均就业率达 95.1%以上。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数学与信息技术学院开设应用统计学、信息管理与信息系统、数学与应用数学、计算机科学与技术、计算机应用技术五个专业。数学与应用数学专业是学校最早招生的专业之一，办学历史可以追溯到1978年。2000年学校升本后，本专业成为第一批招生的本科专业，2017年进入云南省一本批次录取，2019年成为我校首批进入云南省一流专业建设立项的专业。计算机科学与技术专业于2002年获批招生，C类专业，为校级重点建设专业，已建成云南省智慧城市网络空间安全重点实验室、云南省数学建模与数据分析重点实验室、互联网大学实验中心、LUPA开放源代码实验室、华为路由与交换实验室、达内信息技术新工科人才实践创新基地、组装与维护实验室及16间机房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音乐学院开设舞蹈学及音乐学两个师范类专业。音乐学专业是师范类四年制本科专业，1990年开始招生，2002年开展本科教育。专业是教育部“全国普通高等学校音乐学（师范类）教育教学改革试点专业”、云南省教育厅“云南省普通高等学校音乐学（师范类）本科教学与课程研究中心”“玉溪师范学院特色专业”。舞蹈学专业是师范类四年制本科专业，创办于1997年，2006年开展本科教育，C类专业。本专业是玉溪师范学院特色专业，专业全省排名第三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美术学院开设视觉传达设计、美术学、数字媒体艺术、环境设计四个专业。美术学专业始建于1985年，2001年开展本科教育，获批为国家级特色专业、全国普通高等学校专业课程试点、云南省重点专业、特色专业。美术学专业利用本土文化资源，打造本土特色课程，“国际视野、民族特色、走向田野”的人才培养理念与质量品质得到社会与同行的高度认可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马克思主义学院开设思想政治教育专业。思想政治教育专业是师范类四年制本科专业，从1999年开始招生，2001年开始本科教育，授法学学士学位。主要开设马克思主义理论、政治学、教育学及相关学科课程。培养能够胜任中学教学、学生管理以及党政群团、企事业单位实际工作的应用型人才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教师教育学院开设教育技术学、学前教育、小学教育三个专业。学前教育专业自2001年开始专科层次招生，2003年开始本科层次招生，2016年建成为校级特色专业，设有实训室、琴房、电钢教室、画室、舞蹈教室等功能房26间，有师范生共享的智慧教室、录播教室、微格教室等42间；有玉溪师范学院第一附属幼儿园等15个实践教学基地，本专业学生可到国外做交换生、实习生。小学教育专业，2002年开始专科层次招生，2006年开始本科层次招生，已有20年的办学历史，小学教育专业毕业生就业竞争能力较强，毕业生就业率均在97%以上，专业对口就业率达到80%以上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化学生物与环境学院开设生物科学、环境生态工程、应用生物科学、化学、应用化学五个专业。化学专业源于1978年创建的玉溪师专化学教育专业，2001年招收本科师范生，C类专业，化学学科为省级材料与化工专业硕士学位授权点培育学科。生物科学于2001年开始招收本科师范生，是玉溪师范学院首批特色专业，现为云南省特色专业，是全校新生报到率、毕业生就业率、考研率最高的专业之一，近5年，毕业生初次就业率保持在95%以上，广泛就职于云南省各地市中小学的教学和管理岗位，部分毕业生已经迅速成长为部门教学骨干；每年均有相当比例的毕业生考取云南大学等双一流大学的研究生，继续学习深造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商学院开设会计学、国际经济与贸易、市场营销、工商管理、旅游管理、财务管理、会计七个专业。会计学专业自2009年开始招收第一届本科生，2012年成为学校特色专业，致力于应用型人才的培养；2016年成为学校重点打造的品牌专业，目标指向云南省内同等院校中具有较高知名度与竞争力的专业；2017年成为学校工商管理重点学科核心专业，是支撑产业升级重点专业群建设项目《现代商务专业群建设》的核心专业。旅游管理专业自2002年开始招收第一届本科生，2008年成为学校特色专业，是商学院《服务“三区一港”建设的现代商务专业群》的核心专业。毕业生就业面广、适应能力强，获得良好的社会声誉。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体育学院开设体育教育、社会体育指导与管理两个专业。体育教育专业为师范类四年制本科，C类专业，该专业在云南省内是除云南师范大学、云南民族大学以外，最早获得学士学位授予权的学校。2011年，体育学科获云南省高等学校学位授权点“十二五”建设规划一级学科硕士学位授权点建设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外国语学院开设英语、缅甸语、泰语三个专业。英语专业是学校建校最早设立的专业，校级重点建设专业，2017年开始一本批次录取。泰语专业2006年开始招生，是国内唯一开办“2+2”国际合作办学模式的非通用语种专业，2008年评审为云南省“小语种”重点（特色）建设专业，2012年遴选为首批“云南省小语种人才培养示范点”专业。缅甸语专业于2012年开始招生，实施“2+1+1”人才培养模式。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地理与国土工程学院开设人文地理与城乡规划、土地资源管理、地理科学、测绘工程四个专业。地理科学专业至今办学40余年，为云南省首批特色专业、省一流本科专业建设点，“地理科学专业教学团队”为云南省教学团队，“人文地理学”为云南省重点学科。</w:t>
      </w:r>
    </w:p>
    <w:p>
      <w:pPr>
        <w:ind w:firstLine="640" w:firstLineChars="200"/>
        <w:jc w:val="center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  <w:t>用人单位来校招聘须知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宣讲招聘组织形式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1.通过互联网+就业平台发布就业、实习信息；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专场宣讲招聘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：根据用人单位招聘需求，组织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毕业生开展线上或线下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专场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宣讲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招聘活动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不定期举行；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3.行业类小型招聘会：根据毕业生需求，邀请用人单位进校开展行业类招聘会；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4.大型校园招聘会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邀请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用人单位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，组织开展线上、线下校园大型招聘会，规划200-250家；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二、校企合作项目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就业实习实践基地建设、定向人才培养培训、人力资源提升。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就业实习实践基地建设由学校与用人单位共建就业实践实习基地，为学校毕业生提供实习岗位，帮助毕业生通过实习实现就业。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定向人才培养培训由用人单位与学校协同制定培养方案，实施长期系统定向培养（1学年及以上）或短期就业能力培训（1学期或数周），为用人单位输送急需紧缺人才。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人力资源提升由学校和用人单位建立定向合作关系，共建人才工作站或专门人才基地，建立紧密的人才供需对接关系。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三、招聘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流程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1. 网上发布就业、实习信息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01.发布平台：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玉溪师范学院就业信息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网 http://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jy.yxnu.edu.cn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②就业服务中心微信公众号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③应、往届毕业生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QQ、微信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群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02.发布方法：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①用人单位：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可登录学校就业信息网注册成为会员、上传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营业执照扫描件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，登录后发布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招聘简章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;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②用人单位将上述材料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通过微信（13987778150）或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发送至：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s4b7@yxnu.edu.cn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（邮件主题请注明单位名称+发布招聘信息）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;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2.举行专场招聘/宣讲会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01.线下专场招聘会/宣讲会：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①用人单位提供：营业执照扫描件、招聘简章（word版，应含企业简介、招聘岗位及要求、联系方式）、用人单位到校宣讲招聘活动登记表（附件）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②用人单位将上述材料发送至：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s4b7@yxnu.edu.cn或微信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，邮件主题注明“企业名称+申请线下专场招聘会”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③我中心审核通过后确定时间和场地，并联系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用人单位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确认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进校招聘相关事项。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02.空中宣讲会：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用人单位提供：营业执照扫描件、招聘简章（word版，应含企业简介、招聘岗位及要求、联系方式），宣讲会时间、平台入口链接，发送至：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s4b7@yxnu.edu.cn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，邮件主题注明“企业名称+空中宣讲会”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或通过微信沟通。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3.行业类小型招聘会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我校共有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14个学院、47个在招专业，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各学院、专业根据毕业生需求，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开展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行业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招聘会，招聘会信息将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通过各种途径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发布，欢迎用人单位积极参会。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.大型校园招聘会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01.线下综合招聘会：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我校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每年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举办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2次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校园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大型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招聘会，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届时通过各种途径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发布招聘会邀请函，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欢迎各用人单位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报名参会。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02.线上双选会：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我校每月通过自主开展和联合举办两种方式开展线上双选会活动，双选会信息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通过各种途径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发布，欢迎用人单位积极参会。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5.校企合作项目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加强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用人单位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与学校的联系，不断开拓校企合作，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有相关需求的用人单位可通过微信进行洽谈。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欢迎用人单位莅临玉溪师范学院选拔录用毕业生！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联系人：宋老师  13987778150（微信同号）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杨老师  18787799597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网址：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fldChar w:fldCharType="begin"/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instrText xml:space="preserve"> HYPERLINK "http://jy.yxnu.edu.cn" </w:instrTex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http://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jy.yxnu.edu.cn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2023届毕业生信息</w:t>
      </w:r>
    </w:p>
    <w:tbl>
      <w:tblPr>
        <w:tblStyle w:val="5"/>
        <w:tblW w:w="8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304"/>
        <w:gridCol w:w="2087"/>
        <w:gridCol w:w="2304"/>
        <w:gridCol w:w="1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84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087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就业负责人/电话</w:t>
            </w: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restart"/>
            <w:tcBorders>
              <w:top w:val="single" w:color="5B9BD5" w:sz="8" w:space="0"/>
              <w:left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087" w:type="dxa"/>
            <w:vMerge w:val="restart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窦超: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13908778484</w:t>
            </w: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8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087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梁亚萌: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18845784087</w:t>
            </w: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restart"/>
            <w:tcBorders>
              <w:top w:val="single" w:color="5B9BD5" w:sz="4" w:space="0"/>
              <w:left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04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化学生物与环境学院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087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庄小翠: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18487304930</w:t>
            </w: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应用生物科学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环境生态工程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restart"/>
            <w:tcBorders>
              <w:top w:val="single" w:color="5B9BD5" w:sz="4" w:space="0"/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04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地理与国土工程学院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087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贺皎皎: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15398602727</w:t>
            </w: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土地资源管理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测绘工程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人文地理与城乡规划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restart"/>
            <w:tcBorders>
              <w:top w:val="single" w:color="5B9BD5" w:sz="4" w:space="0"/>
              <w:left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04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2087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杨加堂: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18787468501</w:t>
            </w: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restart"/>
            <w:tcBorders>
              <w:top w:val="single" w:color="5B9BD5" w:sz="4" w:space="0"/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04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087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廖璟榕: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13988468693</w:t>
            </w: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舞蹈学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restart"/>
            <w:tcBorders>
              <w:top w:val="single" w:color="5B9BD5" w:sz="4" w:space="0"/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04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教师教育学院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087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周银燕: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18487261194</w:t>
            </w: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restart"/>
            <w:tcBorders>
              <w:top w:val="single" w:color="5B9BD5" w:sz="4" w:space="0"/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04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数学与信息技术学院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087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李智清: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18725161236</w:t>
            </w: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应用统计学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restart"/>
            <w:tcBorders>
              <w:top w:val="single" w:color="5B9BD5" w:sz="4" w:space="0"/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04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087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杨娟: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18487225610</w:t>
            </w: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restart"/>
            <w:tcBorders>
              <w:top w:val="single" w:color="5B9BD5" w:sz="4" w:space="0"/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04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物理与电子工程学院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087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回忆: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18308779986</w:t>
            </w: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restart"/>
            <w:tcBorders>
              <w:top w:val="single" w:color="5B9BD5" w:sz="4" w:space="0"/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04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2087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白鸥: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13577740996</w:t>
            </w: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restart"/>
            <w:tcBorders>
              <w:top w:val="single" w:color="5B9BD5" w:sz="4" w:space="0"/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04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087" w:type="dxa"/>
            <w:vMerge w:val="restart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13577773543</w:t>
            </w: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泰语</w:t>
            </w:r>
          </w:p>
        </w:tc>
        <w:tc>
          <w:tcPr>
            <w:tcW w:w="1036" w:type="dxa"/>
            <w:tcBorders>
              <w:top w:val="nil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8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缅甸语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restart"/>
            <w:tcBorders>
              <w:top w:val="single" w:color="5B9BD5" w:sz="4" w:space="0"/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04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087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刘惠杰: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13108777685</w:t>
            </w: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restart"/>
            <w:tcBorders>
              <w:top w:val="single" w:color="5B9BD5" w:sz="4" w:space="0"/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04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087" w:type="dxa"/>
            <w:vMerge w:val="restart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肖璇: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13577780839</w:t>
            </w: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vMerge w:val="continue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036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MjBhMmFhZjRjNjFjZTM0MmQzMGJiNzE4MDNjNDYifQ=="/>
  </w:docVars>
  <w:rsids>
    <w:rsidRoot w:val="00000000"/>
    <w:rsid w:val="052276F4"/>
    <w:rsid w:val="126807A8"/>
    <w:rsid w:val="142851FC"/>
    <w:rsid w:val="1BBC2AD2"/>
    <w:rsid w:val="29121B7F"/>
    <w:rsid w:val="2D2C76B3"/>
    <w:rsid w:val="3E1B56EB"/>
    <w:rsid w:val="50675453"/>
    <w:rsid w:val="5EC56527"/>
    <w:rsid w:val="71C256BF"/>
    <w:rsid w:val="75A9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4650</Words>
  <Characters>5228</Characters>
  <Lines>0</Lines>
  <Paragraphs>0</Paragraphs>
  <TotalTime>15</TotalTime>
  <ScaleCrop>false</ScaleCrop>
  <LinksUpToDate>false</LinksUpToDate>
  <CharactersWithSpaces>5258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2022-10-25T02:22:00Z</dcterms:created>
  <dc:creator>azsaxasx</dc:creator>
  <cp:lastModifiedBy>宋树兵</cp:lastModifiedBy>
  <dcterms:modified xsi:type="dcterms:W3CDTF">2023-02-23T07:59:57Z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A5CC98DE4BB7457C8A48798642DD7208</vt:lpwstr>
  </property>
</Properties>
</file>